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FDA" w:rsidRPr="00EB5DC8" w:rsidRDefault="00644FDA" w:rsidP="00644FDA">
      <w:pPr>
        <w:shd w:val="clear" w:color="auto" w:fill="FFFFFF"/>
        <w:spacing w:after="0" w:line="180" w:lineRule="atLeast"/>
        <w:jc w:val="center"/>
        <w:textAlignment w:val="baseline"/>
        <w:rPr>
          <w:rFonts w:ascii="Arial" w:eastAsia="Times New Roman" w:hAnsi="Arial" w:cs="Arial"/>
          <w:color w:val="000000"/>
          <w:sz w:val="18"/>
          <w:szCs w:val="18"/>
          <w:lang w:val="it-IT"/>
        </w:rPr>
      </w:pPr>
      <w:r w:rsidRPr="00EB5DC8">
        <w:rPr>
          <w:rFonts w:ascii="inherit" w:eastAsia="Times New Roman" w:hAnsi="inherit" w:cs="Arial"/>
          <w:b/>
          <w:bCs/>
          <w:color w:val="000000"/>
          <w:sz w:val="18"/>
          <w:lang w:val="it-IT"/>
        </w:rPr>
        <w:t>K R Y E M I N I S T R I</w:t>
      </w:r>
    </w:p>
    <w:p w:rsidR="00644FDA" w:rsidRPr="00EB5DC8" w:rsidRDefault="00644FDA" w:rsidP="00644FDA">
      <w:pPr>
        <w:shd w:val="clear" w:color="auto" w:fill="FFFFFF"/>
        <w:spacing w:after="0" w:line="180" w:lineRule="atLeast"/>
        <w:jc w:val="center"/>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 </w:t>
      </w:r>
    </w:p>
    <w:p w:rsidR="00644FDA" w:rsidRPr="00EB5DC8" w:rsidRDefault="00644FDA" w:rsidP="00644FDA">
      <w:pPr>
        <w:shd w:val="clear" w:color="auto" w:fill="FFFFFF"/>
        <w:spacing w:after="0" w:line="180" w:lineRule="atLeast"/>
        <w:jc w:val="center"/>
        <w:textAlignment w:val="baseline"/>
        <w:rPr>
          <w:rFonts w:ascii="Arial" w:eastAsia="Times New Roman" w:hAnsi="Arial" w:cs="Arial"/>
          <w:color w:val="000000"/>
          <w:sz w:val="18"/>
          <w:szCs w:val="18"/>
          <w:lang w:val="it-IT"/>
        </w:rPr>
      </w:pPr>
      <w:r w:rsidRPr="00EB5DC8">
        <w:rPr>
          <w:rFonts w:ascii="inherit" w:eastAsia="Times New Roman" w:hAnsi="inherit" w:cs="Arial"/>
          <w:b/>
          <w:bCs/>
          <w:color w:val="000000"/>
          <w:sz w:val="18"/>
          <w:lang w:val="it-IT"/>
        </w:rPr>
        <w:t>EDI RAMA</w:t>
      </w:r>
    </w:p>
    <w:p w:rsidR="00644FDA" w:rsidRPr="00EB5DC8" w:rsidRDefault="00644FDA" w:rsidP="00644FDA">
      <w:pPr>
        <w:shd w:val="clear" w:color="auto" w:fill="FFFFFF"/>
        <w:spacing w:after="0" w:line="180" w:lineRule="atLeast"/>
        <w:jc w:val="center"/>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 </w:t>
      </w:r>
    </w:p>
    <w:p w:rsidR="00644FDA" w:rsidRPr="00EB5DC8" w:rsidRDefault="00644FDA" w:rsidP="00644FDA">
      <w:pPr>
        <w:shd w:val="clear" w:color="auto" w:fill="FFFFFF"/>
        <w:spacing w:after="0" w:line="180" w:lineRule="atLeast"/>
        <w:jc w:val="center"/>
        <w:textAlignment w:val="baseline"/>
        <w:rPr>
          <w:rFonts w:ascii="Arial" w:eastAsia="Times New Roman" w:hAnsi="Arial" w:cs="Arial"/>
          <w:color w:val="000000"/>
          <w:sz w:val="18"/>
          <w:szCs w:val="18"/>
          <w:lang w:val="it-IT"/>
        </w:rPr>
      </w:pPr>
      <w:r w:rsidRPr="00EB5DC8">
        <w:rPr>
          <w:rFonts w:ascii="inherit" w:eastAsia="Times New Roman" w:hAnsi="inherit" w:cs="Arial"/>
          <w:b/>
          <w:bCs/>
          <w:color w:val="000000"/>
          <w:sz w:val="18"/>
          <w:lang w:val="it-IT"/>
        </w:rPr>
        <w:t>***</w:t>
      </w:r>
    </w:p>
    <w:p w:rsidR="00644FDA" w:rsidRPr="00EB5DC8" w:rsidRDefault="00644FDA" w:rsidP="00644FDA">
      <w:pPr>
        <w:shd w:val="clear" w:color="auto" w:fill="FFFFFF"/>
        <w:spacing w:after="0" w:line="180" w:lineRule="atLeast"/>
        <w:jc w:val="center"/>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 </w:t>
      </w:r>
    </w:p>
    <w:p w:rsidR="00644FDA" w:rsidRPr="00EB5DC8" w:rsidRDefault="00644FDA" w:rsidP="00644FDA">
      <w:pPr>
        <w:shd w:val="clear" w:color="auto" w:fill="FFFFFF"/>
        <w:spacing w:after="0" w:line="180" w:lineRule="atLeast"/>
        <w:jc w:val="center"/>
        <w:textAlignment w:val="baseline"/>
        <w:rPr>
          <w:rFonts w:ascii="Arial" w:eastAsia="Times New Roman" w:hAnsi="Arial" w:cs="Arial"/>
          <w:color w:val="000000"/>
          <w:sz w:val="18"/>
          <w:szCs w:val="18"/>
          <w:lang w:val="it-IT"/>
        </w:rPr>
      </w:pPr>
      <w:r w:rsidRPr="00EB5DC8">
        <w:rPr>
          <w:rFonts w:ascii="inherit" w:eastAsia="Times New Roman" w:hAnsi="inherit" w:cs="Arial"/>
          <w:b/>
          <w:bCs/>
          <w:color w:val="000000"/>
          <w:sz w:val="18"/>
          <w:lang w:val="it-IT"/>
        </w:rPr>
        <w:t>V E N D I M</w:t>
      </w:r>
    </w:p>
    <w:p w:rsidR="00644FDA" w:rsidRPr="00EB5DC8" w:rsidRDefault="00644FDA" w:rsidP="00644FDA">
      <w:pPr>
        <w:shd w:val="clear" w:color="auto" w:fill="FFFFFF"/>
        <w:spacing w:after="0" w:line="180" w:lineRule="atLeast"/>
        <w:jc w:val="center"/>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 </w:t>
      </w:r>
    </w:p>
    <w:p w:rsidR="00644FDA" w:rsidRPr="00EB5DC8" w:rsidRDefault="00644FDA" w:rsidP="00644FDA">
      <w:pPr>
        <w:shd w:val="clear" w:color="auto" w:fill="FFFFFF"/>
        <w:spacing w:after="0" w:line="180" w:lineRule="atLeast"/>
        <w:jc w:val="center"/>
        <w:textAlignment w:val="baseline"/>
        <w:rPr>
          <w:rFonts w:ascii="Arial" w:eastAsia="Times New Roman" w:hAnsi="Arial" w:cs="Arial"/>
          <w:color w:val="000000"/>
          <w:sz w:val="18"/>
          <w:szCs w:val="18"/>
          <w:lang w:val="it-IT"/>
        </w:rPr>
      </w:pPr>
      <w:r w:rsidRPr="00EB5DC8">
        <w:rPr>
          <w:rFonts w:ascii="inherit" w:eastAsia="Times New Roman" w:hAnsi="inherit" w:cs="Arial"/>
          <w:b/>
          <w:bCs/>
          <w:color w:val="000000"/>
          <w:sz w:val="18"/>
          <w:lang w:val="it-IT"/>
        </w:rPr>
        <w:t>PËR</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 </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inherit" w:eastAsia="Times New Roman" w:hAnsi="inherit" w:cs="Arial"/>
          <w:b/>
          <w:bCs/>
          <w:color w:val="000000"/>
          <w:sz w:val="18"/>
          <w:lang w:val="it-IT"/>
        </w:rPr>
        <w:t>PËRCAKTIMIN E KRITEREVE, STANDARDEVE DHE PROCEDURAVE TË PROCESIT TË AKREDITIMIT TË AKTIVITETEVE TË EDUKIMIT NË VAZHDIM PËR PROFESIONISTËT E SHËNDETËSISË</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 </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Në mbështetje të nenit 100 të Kushtetutës dhe të pikës 4, të nenit 33/1, të ligjit nr.10107, datë 30.3.2009, “Për kujdesin shëndetësor në Republikën e Shqipërisë”, të ndryshuar, me propozimin e ministrit të Shëndetësisë, Këshilli i Ministrave </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 </w:t>
      </w:r>
    </w:p>
    <w:p w:rsidR="00644FDA" w:rsidRPr="00EB5DC8" w:rsidRDefault="00644FDA" w:rsidP="00644FDA">
      <w:pPr>
        <w:shd w:val="clear" w:color="auto" w:fill="FFFFFF"/>
        <w:spacing w:after="0" w:line="180" w:lineRule="atLeast"/>
        <w:jc w:val="center"/>
        <w:textAlignment w:val="baseline"/>
        <w:rPr>
          <w:rFonts w:ascii="Arial" w:eastAsia="Times New Roman" w:hAnsi="Arial" w:cs="Arial"/>
          <w:color w:val="000000"/>
          <w:sz w:val="18"/>
          <w:szCs w:val="18"/>
          <w:lang w:val="it-IT"/>
        </w:rPr>
      </w:pPr>
      <w:r w:rsidRPr="00EB5DC8">
        <w:rPr>
          <w:rFonts w:ascii="inherit" w:eastAsia="Times New Roman" w:hAnsi="inherit" w:cs="Arial"/>
          <w:b/>
          <w:bCs/>
          <w:color w:val="000000"/>
          <w:sz w:val="18"/>
          <w:lang w:val="it-IT"/>
        </w:rPr>
        <w:t>V E N D O S I:</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 </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1. Procesi i akreditimit</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1.1 Aplikimi për akreditim</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1.1.1 Aplikimi për akreditimin e aktivitetit të edukimit në vazhdim, për profesionistët e shëndetësisë, duhet të bëhet në Qendrën Kombëtare të Edukimit në Vazhdim, këtu e më poshtë QKEV, nga ofruesi i aktivitetit, jo më vonë se 30 ditë nga data e planifikuar për zbatimin e tij. Aplikimi për akreditim shoqërohet me pagesën e një tarife, që varion sipas llojit dhe kohëzgjatjes së aktivitetit, e cila miratohet nga Bordi i Edukimit të Vazhdueshëm, këtu e më poshtë BEV.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1.1.2 Për akreditimin e aktiviteteve që janë akredituar më parë nga QKEV-ja, ofruesi ka detyrimin të dërgojë në QKEV një njoftim me shkrim, të shoqëruar me programin e aktivitetit, të paktën 7 ditë kalendarike përpara zhvillimit të tij.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1.1.3 Për çdo aktivitet të edukimit në vazhdim bëhet një aplikim i veçantë. Përjashtim bëjnë aktivitetet e institucioneve publike të kujdesit shëndetësor për punonjësit e tyre, për të cilat mund të bëhet një aplikim i vetëm për të gjitha aktivitetet që do të zhvillojë institucioni shëndetësor publik për punonjësit e vet brenda një viti kalendarik. Ky aplikim kryhet në dy faza: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1.1.3.1 faza e dërgimit të aplikimit për akreditim dhe e programit vjetor të aktiviteteve para zhvillimit të aktivitetit;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1.1.3.2 faza e plotësimit të materialit didaktik, e cila mund të kryhet dhe pas zhvillimit të aktivitetit.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1.1.4 Procedurat e akreditimit për aktivitetet që institucionet publike kryejnë për punonjësit e vet janë pa pagesë.</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1.2 Vlerësimi i brendshëm</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1.2.1 Vlerësimi i brendshëm kryhet nga vetë institucioni ofrues i aktivitetit të edukimit në vazhdim dhe shërben si bazë për vlerësimin e jashtëm. Ai identifikon nevojat për edukim në vazhdim dhe metodat më të mira për përmbushjen e tyre. Të dhënat e ofruara nga aplikuesi duhet të pasqyrojnë me vërtetësi informacione për tre komponentët kryesorë, që janë:</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1.2.1.1 Qëllimi dhe objektivat e aktivitetit të edukimit në vazhdim, të cilat paraqiten nëpërmjet një deklarate të shkruar, duke përfshirë dhe fushat e ndërhyrjes, audiencën, të cilës i drejtohet, llojin e aktivitetit që do të ofrohet dhe rezultatet e pritshme nga ky aktivitet.</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 </w:t>
      </w:r>
    </w:p>
    <w:p w:rsid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1.2.1.2 Planifikimin e aktivitetit, ku ofruesi duhet të: </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i. demonstrojë një proces planifikimi të aktivitetit, i cili gërsheton nevojat e identifikuara për edukim në vazhdim me rezultatet e parashikuara të aktivitetit;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ii. përdorë të dhëna të bazuara në vlerësimin e nevojave për hartimin dhe planifikimin e aktiviteteve të edukimit në vazhdim;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iii. komunikojë qëllimin dhe objektivat e aktivitetit, në mënyrë që profesionistët pjesëmarrës të jenë në dijeni të tyre para ofrimit të aktivitetit; </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iv. sigurojë përputhje me politikat e parashikuara për mbështetjen financiare dhe konfliktin e interesit. </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 </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1.2.1.3 Vlerësimin dhe përmirësimin e aktivitetit, ku ofruesi duhet të: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i.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i. ketë parashikuar vlerësimin e efikasitetit të aktivitetit të  edukimit në vazhdim në përmbushjen e nevojave të identifikuara paraprakisht;</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ii. bëjë përmirësimet e nevojshme, të sugjeruara nga procesi i vlerësimit.</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1.3 Vlerësimi i jashtëm</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1.3.1. Vlerësimi i jashtëm kryhet nga QKEV-ja dhe realizohet nëpërmjet vlerësimit të dokumentacionit para akreditimit dhe monitorimit të aktivitetit/vlerësimit përfundimtar. Në fazën e parë, që kryhet para se aktiviteti të akreditohet dhe zbatohet, ndiqen procedurat e mëposhtme:</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1.3.1.1 QKEV-ja shqyrton dokumentacionin e paraqitur nga aplikuesi dhe, nëse ai është i plotë, bën vlerësimin e tij sipas kritereve të cilësisë në planifikimin e aktivitetit, përfshirë vlerësimin e burimeve të përdorura (trajnerët, materialet pedagogjike) dhe përgatit raportin përkatës. Në rast të plotësimit të pjesshëm, nga ofruesit, të dokumentacionit të kërkuar, QKEV-ja ruan të drejtën e refuzimit të akreditimit ose mosvlerësimit me kredite, për ato materiale të programit që kanë mangësi në dokumentacion;</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1.3.1.2 QKEV-ja ngarkon një ose me shumë ekspertë të pavarur të fushës, nga lista e përzgjedhur nga BEV-ja, për të kryer vlerësimin e përmbajtjes së kurikulave që do të përdoren në aktivitet dhe për përputhshmërinë e tyre me nevojat e pjesëmarrësve. Në varësi të këtij vlerësimi, eksperti/ekspertët mund të sugjerojnë se cilat tema duhen konsideruar ose jo në llogaritjen e krediteve. Eksperti përgatit raportin përkatës. QKEV-ja paguan ekpertët e pavarur për vlerësimin e kryer prej tyre, bazuar në përcaktimin e orëve të punës, siç paraqiten në aneksin 1, që i bashkëlidhet këtij vendimi. Për aktivitete që përdorin materiale trajnuese, të hartuara nga Ministria e Shëndetësisë ose Organizata Botërore e Shëndetësië, QKEV-ja mund të mos i kalojë këto materiale për vlerësimin e ekspertit të pavarur të fushës;</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1.3.1.3 Bazuar në dy raporte të QKEV-së dhe ekspertit/ekspertëve, sipas pikave 1.3.1.1 dhe 1.3.1.2, të kësaj pike, QKEV-ja vendos nëse aktiviteti akreditohet ose jo dhe përcakton numrin e krediteve për aktivitetin që do të akreditohet;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1.3.1.4 Dokumentacioni i vlerësimit të brendshëm dhe ai i vlerësimit të jashtëm, së bashku me numrin e përcaktuar të krediteve, bazuar në llojin e aktivitetit dhe kohëzgjatjen e tij, përbëjnë dosjen e vlerësimit, miratimi i së cilës mbyll fazën e parë të procesit të akreditimit. Faza e dytë përshkruhet në pikën 1.5, të këtij vendimi.</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1.4. Publikimi i rezultateve dhe përcaktimi i krediteve</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1.4.1 Pas vlerësimit të jashtëm, QKEV-ja merr vendimin e akreditimit ose jo të një aktiviteti. QKEV-ja bën të ditur vendimin e saj brenda 30 ditëve, pas plotësimit të dokumentacionit për akreditim nga ana e ofruesit.</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1.4.2. Në rastet kur akreditimi refuzohet, aplikuesit duhet t’i kthehet një përgjigje me shkrim nga QKEV-ja, duke paraqitur arsyet e refuzimit dhe sugjerimet përkatëse për përmirësimin e planifikimit dhe hartimit të propozimeve të ardhshme.</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1.4.3 Aktivitetet, të cilat akreditohen, si dhe kreditet përkatëse të tyre, i bëhen të njohura ofruesit dhe publikohen në faqen e internetit të QKEV-së.</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1.4.4 Akreditimi i një aktiviteti është i vlefshëm për një periudhë tre vjeçare, nga momenti i akreditimit fillestar.</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1.5 Monitorimi dhe vlerësimi përfundimtar</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1.5.1 QKEV-ja ka të drejtë të monitorojë aktivitetin e edukimit në vazhdim, të akredituar ose në proces, për të siguruar zbatimin e standardeve dhe kritereve të parashikuara. QKEV-ja monitoron, në mënyrë të rastësishme dhe pa njoftim paraprak, vetëm një pjesë të aktiviteteve që akreditohen prej saj. Gjithashtu, QKEV-ja ka të drejtë të realizojë vlerësimin e aktivitetit nga pjesëmarrësit në aktivitet.</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1.5.2 Pas përfundimit të aktivitetit, aplikuesi duhet të plotësojë dosjen e vlerësimit, duke dorëzuar pranë QKEV-së listën e pjesëmarrësve në aktivitet dhe rezultatet e procesit të vlerësimit të aktivitetit.</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1.5.3 QKEV-ja mund të anulojë akreditimin e ofruar apo të rishikojë numrin e krediteve kur vërehen shkeljet e mëposhtme:</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1.5.3.1 Ndryshime në programin e aktivitetit, të cilat cenojnë cilësinë e tij dhe ndikojnë në përllogaritjen e krediteve të miratuara;</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1.5.3.2 Mosraportimi i konflikteve të interesit të organizatorëve ose/dhe trajnuesve në aktivitet;</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1.5.3.3 Përdorimi i aktivitetit për promovim personal ose tregtar;</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1.5.3.4 Keqpërdorimi i emrit të institucionit akreditues dhe krediteve të njohura prej tij;</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1.5.3.5 Mosplotësimi i dosjes me dokumentacionin e nevojshëm për fazën pas aktivitetit;</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1.5.3.6 Vlerësimi negativ i shumicës së pjesëmarrësve për organizimin e aktivitetit, përmbajtjen e temave të veçanta ose nivelin pedagogjik të paraqitjes së këtyre temave;</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1.5.3.7 Shkelje të kritereve të përshkruara në pikat 2 dhe 3, të këtij vendimi.</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 </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1.5.4 Në rast të shkeljeve të përsëritura nga ana e ofruesit, ose në rast shkeljesh të rënda, QKEV-ja ka të drejtën të pezullojë ofruesin nga ofrimi i aktiviteteve të akredituara të edukimit në vazhdim për një periudhë 6 muaj deri në 1 vit, në varësi të llojit të shkeljes së vërejtur. Konsiderohen shkelje të rënda: moszhvillimi i aktivitetit të deklaruar, pa njoftim paraprak dhe të motivuar në QKEV, si dhe shkeljet e kritereve për mbështetjen tregtare.</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 </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1.5.5   Në rast se gjatë monitorimit të aktivitetit vihet re përmbushje maksimale e standardeve të cilësisë dhe/ose vlerësim i shkëlqyer i programit, lektorëve/trajnerëve dhe organizimit të aktivitetit nga pjesëmarrësit, QKEV-ja mund të bëjë një rritje deri në 20% të numrit të krediteve të miratuara paraprakisht për aktivitetin e monitoruar.</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1.6 E drejta e ankimit</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Ofruesit e aktiviteteve të edukimit në vazhdim kanë të drejtë të ankohen pranë QKEV-së, për vendimin e akreditimit dhe numrin e krediteve, brenda 30 ditëve nga momenti i marrjes dijeni të njoftimit. Çdo ankesë duhet të paraqitet me shkrim dhe të shoqërohet me të dhëna e argumente që mbështetin ankimin. QKEV-ja rishqyrton dosjen e vlerësimit dhe, kur ankesat janë të mbështetura, i reflekton në raportin përfundimtar. Në rastet kur ofruesi nuk është dakord me raportin përfundimtar, ai ka të drejtën e ankimit pranë Bordit të Edukimit të Vazhdueshëm brenda 30 ditëve nga data e marrjes dijeni të njoftimit të vendimit nga QKEV-ja.</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lastRenderedPageBreak/>
        <w:t>2. Kriteret e vlerësimit të brendshëm dhe të jashtëm</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2.1 Ofruesi duhet të paraqesë një deklaratë të qëllimit të aktivitetit të edukimit në vazhdim, e cila duhet të përmbajë të gjitha komponentet bazë (objektivat, fushat që do të përfshijë, llojin e aktivitetit, rezultatet e pritshme), ku rezultatet të jenë formuluar bazuar në termat e ndryshimeve që aktiviteti do të sjellë në njohuritë ose praktikën e profesionistëve ose përfitimin e pacientëve.</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2.2 Ofruesi duhet të përcaktojë se cilat nevoja për edukim në vazhdim, të shprehura në njohuri, kompetenca ose praktika, do të adresohen në aktivitetin e propozuar të edukimit në vazhdim.</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2.3 Ofruesi duhet të hartojë aktivitete, të cilat kanë për qëllim të ndryshojnë njohuritë, aftësitë, performancën ose përfitimet nga ana e pacientëve, të parashikuara në qëllimin e deklaruar të aktivitetit.</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2.4. Ofruesi duhet të hartojë aktivitete, përmbajtja e të cilave të përputhet me fushën në të cilën profesionistët pjesëmarrës ushtrojnë profesionin e tyre.</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2.5. Ofruesi duhet të zgjedhë forma edukimi (metoda pedagogjike), të cilat janë të përshtatshme për tematikën, objektivat dhe rezultatet e pritshme të aktivitetit.</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2.6. Ofruesi duhet të hartojë aktivitete që përputhen me tematikën e kompetencave të dëshiruara nga profesionistët (p.sh. udhëzuesit klinikë etj.).</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 </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2.7. Ofruesi duhet të organizojë aktivitete të pavarura nga interesat tregtare.</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 </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2.8. Ofruesi duhet të menaxhojë, në mënyrë të përshtatshme, mbështetjen (financimin, fondet) tregtare.</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 </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2.9. Ofruesi duhet ta mbajë të ndarë promovimin nga pjesa edukative e aktivitetit.</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 </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 2.10. Ofruesi duhet të promovojë, në mënyrë aktive, përmirësime në shërbimin shëndetësor dhe jo interesat tregtare të ofruesve dhe/ose financuesve të aktivitetit.</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 </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2.11. Për aktivitetet e edukimit të vazhdueshëm në distancë ofruesi duhet:</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 </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2.11.1 të deklarojë formatin e nevojshëm për përdorimin e materialit (p.sh.Windows/MacOS; lexues DVD) dhe të ofrojë detaje për kontaktet për ofrim mbështetjeje (teknike) për pjesëmarrësit, në rastin e aktiviteteve që përdorin teknologjinë e informacionit, hardwar-in dhe softwar-in që nevojitet për të përdorur materialet, dhe instruksione për përfitimin optimal nga kursi;</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2.11.2 të deklarojë kohëzgjatjen në orë të kohës që pjesëmarrësit do t’i duhet për të përmbushur objektivat edukativë të aktivitetit;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2.11.3 të ofrojë mbështetje teknike për pjesëmarrësin, në lidhje me ndjekjen e aktivitetit;</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2.11.4 të garantojë një mënyrë për konfirmimin e përfshirjes së pjesëmarrësit si dhe të përmbushjes së objektivave edukative;</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2.11.5 të respektojë e të konfirmojë konfidencialitetin e pjesëmarrësit si dhe faktin që çdo informacion, për pjesëmarrësit në aktivitet, do të përdoret vetëm për qëllimet specifike të përmbushjes së kërkesave të këtij materiali. Rastet e vetme të përjashtimit duhet të jenë me informimin dhe miratimin e plotë të pjesëmarrësit.</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2.12. Ofruesi duhet të analizojë ndryshimet te pjesëmarrësit (njohuritë, praktikat ose përfitimet e pacientëve), të arritura si rezultat i të gjitha aspekteve të aktivitetit të edukimit në vazhdim.</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2.13. Ofruesi duhet të përdorë mjete vlerësuese të procesit të zbatimit të aktivitetit (p.sh. ambienti, kohëzgjatja, numri i temave, burimet e përdorura).</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2.14. Ofruesi duhet të identifikojë, planifikojë dhe zbatojë ndryshimet e nevojshme ose të dëshiruara në aktivitet (p.sh. planifikuesit, trajnuesit, infrastrukturën, metodat, burimet, mjetet, ndërhyrjet), që janë të nevojshme për përmirësimin e cilësisë së aktiviteteve të ardhshme të edukimit në vazhdim.</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2.15. Ofruesi duhet të sigurojë dokumentimin efikas të pjesëmarrësve në aktivitet.</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2.16. Për aktivitetet e edukimit në distance, ofruesi duhet të vërtetojë një përvetësim nga pjesëmarrësit deri në 70% të njohurive të reja, nga ndjekja e aktivitetit të edukimit në distancë (përqindja kaluese).</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3. Kriteret për mbështetjen financiare</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3.1 QKEV-ja nuk pranon kërkesa për akreditim të aktiviteteve të edukimit në vazhdim nga subjekte që prodhojnë ose tregtojnë mallra, të cilat përdoren tek ose nga pacientët, të cilët, në kuptim të këtij vendimi, do të konsiderohen palë të interesit tregtar. Këta të fundit mund të mbështetin financiarisht aktivitete të edukimit në vazhdim vetëm kur plotësojnë kriteret e mëposhtme:</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3.1.1 Pavarësia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Ofruesi i aktiviteteve të edukimit në vazhdim duhet të garantojë se vendimet që do të merren në secilën prej fushave të mëposhtme do të jenë të pavarura dhe nuk do të jenë nën ndikimin e palës së interesit tregtar.</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 </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3.1.2 Zgjidhja e konfliktit personal të interesit</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3.1.2.1 Ofruesi duhet të jetë i aftë të tregojë se çdo person që mund të ndikojë në përmbajtjen e një aktiviteti edukues ka deklaruar të gjitha lidhjet financiare që paraqesin konflikt interesi për ofruesin e aktivitetit.</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3.1.2.2 Individi që do të refuzojë të deklarojë lidhjet e mundshme financiare nuk ka të drejtë të jetë anëtar i komitetit të planifikimit, lektor ose autor i aktivitetit të edukimit në vazhdim dhe nuk mund të ketë kontroll apo përgjegjësi në zhvillimin, menaxhimin, prezantimin ose vlerësimin e aktivitetit.</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3.1.2.3 Ofruesi duhet të përfshijë një mekanizëm për të identifikuar dhe zgjidhur të gjitha konfliktet paraprake të interesit të aktivitetit edukues që do të ndjekin pjesëmarrësit.</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 </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3.1.3 Përdorimi i duhur i mbështetjes tregtare</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3.1.3.1 Ofruesi duhet të marrë të gjitha masat për sigurimin e mbështetjes financiare.</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3.1.3.2 Ofruesi nuk duhet të detyrohet nga pala e interesit tregtar për të marrë këshilla apo shërbime që lidhen me lektorët, autorët, pjesëmarrësit apo çështjet e edukimit, përfshirë këtu edhe përmbajtjen, si kusht i marrjes së fondeve.</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3.1.3.3 E gjithë mbështetja finaciare për aktivitetin e edukimit në vazhdim duhet të menaxhohet vetëm nëpërmjet ofruesit (institucionit që ka bërë kërkesën për akreditim pranë institucionit akreditues).</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3.1.3.4 Kushtet dhe qëllimet e mbështetjes tregtare duhet të dokumentohen në një marrëveshje të shkruar, ndërmjet mbështetësit tregtar dhe ofruesit e partnerëve të tij. Marrëveshja duhet të përfshijë edhe ofruesin, nëse mbështetja i është dhënë në mënyrë të drejtpërdrejtë partnerit edukues të ofruesit ose ndonjë sponsori të përbashkët.</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3.1.3.5 Marrëveshja e shkruar duhet ta specifikojë palën e interesit tregtar që është burimi i mbështetjes finaciare.</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3.1.3.6 Mbështetësi financiar, së bashku me ofruesin, duhet të firmosin (nënshkruajnë) marrëveshjen e shkruar ndërmjet të dyve.</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 </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3.1.4 Administrimi  i duhur i promocionit  tregtar</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3.1.4.1 Marrëveshjet për prezantimet tregtare ose publiciteti nuk duhet të influencojnë në planifikimin ose implementimin e një aktiviteti të edukimit në vazhdim dhe as nuk mund të jenë kusht për ofrimin e mbështetjes financiare për aktivitetin.</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3.1.4.2 Materialet edukuese, që janë pjesë e një aktiviteti të edukimit në vazhdim, të tilla si prezantime, konspekte dhe shënime të shtypura, nuk mund të përmbajnë asnjë publicitet, emër tregtar apo mesazh të firmës së prodhimit.</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3.1.4.3 Gjatë aktivitetit të edukimit në vazhdim është i ndaluar çdo lloj materiali për promocion të produkteve apo publicitet i produkteve specifike. Duhet të shmanget ballafaqimi dhe krahasimi i produkteve apo subjekteve të ngjashëm. Aktivitetet promocionale, gjatë aktiviteteve të drejtpërdrejta (prova materiale mbështetëse, prezantim) ose publiciteti në materialet elektronike apo të printuara duhet të jenë të ndara nga aktiviteti i edukimit në vazhdim.</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3.1.4.4 Në materialet e printuara, publiciteti dhe materialet e promocionit nuk duhet të jenë të përziera me përmbajtjen e aktivitetit të edukimit në vazhdim.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3.1.4.5 Në prezantimet elektronike, publiciteti dhe materialet e promocionit nuk duhet të jenë të dallueshme në ekran në të njëjtën kohë me përmbajtjen e aktivitetit të edukimit në vazhdim dhe nuk duhet të shfaqen mes prezantimeve elektronike të përmbajtjes së aktivitetit.</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3.1.4.6 Në aktivitetet e drejtpërdrejta, publiciteti dhe materialet e promocionit nuk mund të shfaqen apo të shpërndahen para, gjatë ose pas hapësirës edukative të aktivitetit të edukimit në vazhdim. Ofruesit nuk duhet t’i lejojnë përfaqësuesit e palëve të interesave tregtare të angazhohen në shitje ose aktivitete promocionale gjatë kohës dhe në vendin e zhvillimit të aktivitetit të edukimit në vazhdim.</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3.1.4.7 Materialet e printuara apo në formë elektronike, të shpërndara mbi elemente që nuk kanë lidhje me informacionin edukativ të aktivitetit, mund të përfshijnë material të promocionit të produktit ose publicitet të produkteve të veçanta.</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3.1.4.8 Ofruesi i akredituar nuk duhet të lejojë që pala e interesit tregtar të ofrojë aktivitete të edukimit në vazhdim të pjesëmarrësit.</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 </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3.1.5 Përmbajtja  dhe  formati  i paanshmërisë  tregtare</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3.1.5.1 Përmbajtja apo formati i aktivitetit të edukimit në vazhdim apo materialeve që lidhen me të duhet të përkrahë përmirësimin apo cilësinë në kujdesin shëndetësor dhe jo një firmë ose agjenci të veçantë të regjistruar biznesi.</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3.1.5.2 Prezantimet duhet të japin një paraqitje të ekuilibruar të mundësive terapeutike. Përdorimi i emrave të përgjithshëm nuk ndikon anësisht. Nëse në materialin edukues të aktivitetit të edukimit në vazhdim apo gjatë prezantimit të tij përfshihen emra tregtarë, duhet të përdoren emra tregtarë të gatshëm, nga firma të ndryshme, dhe jo vetëm emra tregtarë nga një firmë e vetme.</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 </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3.1.6 Deklarimi  i lidhjeve  financiare</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3.1.6.1 Të gjitha lidhjet financiare të mundshme të personave që mund të ndikojnë në aktivitetin e edukimit në vazhdim duhet të deklarohen te pjesëmarrësit në aktivitet para se ai të fillojë dhe në formë të shkruar, në programin e aktivitetit ose në faqen zyrtare të ofruesit.</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3.1.6.2 Burimi i mbështetjes tregtare duhet të deklarohet, nga ana e ofruesve të aktivitetit të edukimit në vazhdim, te pjesëmarrësit në aktivitet, para se ai të fillojë. Deklarimi nuk duhet, asnjëherë, të përfshijë përdorimin e emrave tregtarë ose një mesazh promocional.</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4. Aktivitete të edukimit në vazhdim dhe kreditet përkatëse</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Aktivitetet e edukimit në vazhdim, që akreditohen nga QKEV-ja, mund të jenë:</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4.1 “Konferenca” - një aktivitet 1-3-ditor për një temë të caktuar, zakonisht e zhvilluar nga shoqata profesionistësh, ku mbahen një seri leksionesh nga ekspertë të fushës, e organizuar në seanca plenare dhe/ ose seanca paralele. Qëllimi i konferencës është të shtojë njohuritë e audiencës profesionale, kryesisht mbi të rejat e shkencës dhe teknologjisë, në lidhje me praktikën përkatëse shëndetësore;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4.2 “Trajnimi” - një aktivitet edukues (nga 1-ditor deri në 3-mujor) me qëllim përftimin e njohurive, aftësive dhe shprehive praktike që nevojiten për të përmbushur një detyrë apo punë në mënyrë të kënaqshme. Ai përfshin përdorimin e metodave të ndryshme pedagogjike dhe jo thjesht mbajtjen e leksioneve. Trajnimi mund të zhvillohet larg vendit të punës ose në vendin e punës;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4.3 “Seminari” - një aktivitet mësimor, ku një grup i vogël pjesëmarrësish mësojnë rreth një çështjeje të caktuar dhe marrin pjesë aktivisht, nëpërmjet diskutimit të artikujve të caktuar, prezantimit të studimeve të ndryshme, pyetjeve dhe debateve;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4.4 “Workshop” - një aktivitet i zhvilluar me një grup të vogël pjesëmarrësish, të cilët përfshihen aktivisht në diskutime, zgjidhje problemesh ose në kryerjen e një teknike, procedure apo manipulimi me ndihmën e një eksperti. Qëllimi është që pjesëmarrësit të mësojnë, duke provuar, gabuar dhe korrigjuar vetë ose me ndihmën e të tjerëve, aftësi dhe kompetenca të nevojshme për praktikën e tyre të përditshme;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4.5 “Prezantimi i një leksioni” - një aktivitet që nxit edukimin në vazhdim profesional. Leksioni është një prezantim me gojë, nga një profesionist i kualifikuar dhe me përvojë në fushën përkatëse, i një teme të caktuar, të përgatitur mirë, për rreth 20 deri në 40 minuta, i shoqëruar me pyetje-përgjigje. Aftësitë komunikuese, prezantuese dhe ekspertiza janë cilësitë kryesore të një lektori të mirë;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4.6 “Grup rishikimi”- një aktivitet në grup të vogël (5-10), ku profesionistët e të njëjtit specialitet ose shërbim mblidhen për të diskutuar për çështje kryesore që lidhen me praktikën e tyre klinike, me cilësinë e shërbimit dhe zgjidhjet e mundshme. Qëllimi kryesor i grupeve të rishikimit është shkëmbimi i përvojave dhe vlerësimi i punës së njëri-tjetrit, zgjidhja e problemeve praktike, hartimi i udhëzuesve për të përmirësuar shërbimin.  Grupet e rishikimit mblidhen rregullisht dhe drejtohen nga një drejtues grupi;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4.7 “Aktivitet kërkimor/studimor”- një pjesë e aktiviteteve të edukimit në vazhdim. Përfshirja e profesionistit në punë kërkimore, në shkrime artikujsh apo materialesh të tjera profesionale dhe shkencore është një formë tjetër e edukimit në vazhdim. Përllogaritja e krediteve për aktivitetet e mësipërme kryhet sipas kriterit një orë-një kredit, bazuar vetëm në orët reale të mësimdhënies, dhe duke mos përfshirë pushimet mes prezantimeve, seancën prezantuese të aktivitetit etj. Një aktiviteti të drejtpërdrejtë (live) të edukimit në vazhdim nuk mund t’i njihen më shumë se 6 kredite në ditë;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4.8 “Aktivitetet e të mësuarit në distancë” - aktivitete edukuese që kryhen në mënyrë të pavarur nga profesionisti, me ndihmën e teknologjisë moderne. Studimi i materialeve të shkruara, videokasetave, videokonferencat, webkonferencat dhe komunikimi nëpërmjet kompjuterit e lejojnë profesionistin të ndjekë një program trajnimi me interes për të, pa patur nevojë për prezencë fizike në një aktivitet të tillë. Aktivitetet e edukimit në distancë nuk mund të jenë më të gjata se 1-3 ditë dhe mund të vlerësohen, maksimalisht, me 3 kredite në ditë.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 </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5. Ekspertët e pavarur</w:t>
      </w:r>
    </w:p>
    <w:p w:rsidR="00644FDA" w:rsidRP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644FDA">
        <w:rPr>
          <w:rFonts w:ascii="Arial" w:eastAsia="Times New Roman" w:hAnsi="Arial" w:cs="Arial"/>
          <w:color w:val="000000"/>
          <w:sz w:val="18"/>
          <w:szCs w:val="18"/>
          <w:lang w:val="it-IT"/>
        </w:rPr>
        <w:t> </w:t>
      </w:r>
    </w:p>
    <w:p w:rsidR="00644FDA" w:rsidRPr="00A65833" w:rsidRDefault="00644FDA" w:rsidP="00644FDA">
      <w:pPr>
        <w:shd w:val="clear" w:color="auto" w:fill="FFFFFF"/>
        <w:spacing w:after="0" w:line="180" w:lineRule="atLeast"/>
        <w:jc w:val="both"/>
        <w:textAlignment w:val="baseline"/>
        <w:rPr>
          <w:rFonts w:ascii="Arial" w:eastAsia="Times New Roman" w:hAnsi="Arial" w:cs="Arial"/>
          <w:color w:val="000000"/>
          <w:sz w:val="18"/>
          <w:szCs w:val="18"/>
        </w:rPr>
      </w:pPr>
      <w:r w:rsidRPr="00644FDA">
        <w:rPr>
          <w:rFonts w:ascii="Arial" w:eastAsia="Times New Roman" w:hAnsi="Arial" w:cs="Arial"/>
          <w:color w:val="000000"/>
          <w:sz w:val="18"/>
          <w:szCs w:val="18"/>
          <w:lang w:val="it-IT"/>
        </w:rPr>
        <w:t xml:space="preserve">5.1 Ekspertët që do të përfshihen në vlerësimin e jashtëm të një aktiviteti të edukimit në vazhdim zgjidhen me rotacion, nga lista e ekspertëve të secilës fushë ekspertize, të miratuar nga Bordi i Edukimit të Vazhdueshëm. </w:t>
      </w:r>
      <w:proofErr w:type="spellStart"/>
      <w:r w:rsidRPr="00A65833">
        <w:rPr>
          <w:rFonts w:ascii="Arial" w:eastAsia="Times New Roman" w:hAnsi="Arial" w:cs="Arial"/>
          <w:color w:val="000000"/>
          <w:sz w:val="18"/>
          <w:szCs w:val="18"/>
        </w:rPr>
        <w:t>Lista</w:t>
      </w:r>
      <w:proofErr w:type="spellEnd"/>
      <w:r w:rsidRPr="00A65833">
        <w:rPr>
          <w:rFonts w:ascii="Arial" w:eastAsia="Times New Roman" w:hAnsi="Arial" w:cs="Arial"/>
          <w:color w:val="000000"/>
          <w:sz w:val="18"/>
          <w:szCs w:val="18"/>
        </w:rPr>
        <w:t xml:space="preserve"> e </w:t>
      </w:r>
      <w:proofErr w:type="spellStart"/>
      <w:r w:rsidRPr="00A65833">
        <w:rPr>
          <w:rFonts w:ascii="Arial" w:eastAsia="Times New Roman" w:hAnsi="Arial" w:cs="Arial"/>
          <w:color w:val="000000"/>
          <w:sz w:val="18"/>
          <w:szCs w:val="18"/>
        </w:rPr>
        <w:t>ekspertëve</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rishqyrtohet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çdo</w:t>
      </w:r>
      <w:proofErr w:type="spellEnd"/>
      <w:r w:rsidRPr="00A65833">
        <w:rPr>
          <w:rFonts w:ascii="Arial" w:eastAsia="Times New Roman" w:hAnsi="Arial" w:cs="Arial"/>
          <w:color w:val="000000"/>
          <w:sz w:val="18"/>
          <w:szCs w:val="18"/>
        </w:rPr>
        <w:t xml:space="preserve"> </w:t>
      </w:r>
      <w:proofErr w:type="spellStart"/>
      <w:proofErr w:type="gramStart"/>
      <w:r w:rsidRPr="00A65833">
        <w:rPr>
          <w:rFonts w:ascii="Arial" w:eastAsia="Times New Roman" w:hAnsi="Arial" w:cs="Arial"/>
          <w:color w:val="000000"/>
          <w:sz w:val="18"/>
          <w:szCs w:val="18"/>
        </w:rPr>
        <w:t>dy</w:t>
      </w:r>
      <w:proofErr w:type="spellEnd"/>
      <w:proofErr w:type="gram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vjet</w:t>
      </w:r>
      <w:proofErr w:type="spellEnd"/>
      <w:r w:rsidRPr="00A65833">
        <w:rPr>
          <w:rFonts w:ascii="Arial" w:eastAsia="Times New Roman" w:hAnsi="Arial" w:cs="Arial"/>
          <w:color w:val="000000"/>
          <w:sz w:val="18"/>
          <w:szCs w:val="18"/>
        </w:rPr>
        <w:t>.</w:t>
      </w:r>
    </w:p>
    <w:p w:rsidR="00644FDA" w:rsidRPr="00A65833" w:rsidRDefault="00644FDA" w:rsidP="00644FDA">
      <w:pPr>
        <w:shd w:val="clear" w:color="auto" w:fill="FFFFFF"/>
        <w:spacing w:after="0" w:line="180" w:lineRule="atLeast"/>
        <w:jc w:val="both"/>
        <w:textAlignment w:val="baseline"/>
        <w:rPr>
          <w:rFonts w:ascii="Arial" w:eastAsia="Times New Roman" w:hAnsi="Arial" w:cs="Arial"/>
          <w:color w:val="000000"/>
          <w:sz w:val="18"/>
          <w:szCs w:val="18"/>
        </w:rPr>
      </w:pPr>
      <w:r w:rsidRPr="00A65833">
        <w:rPr>
          <w:rFonts w:ascii="Arial" w:eastAsia="Times New Roman" w:hAnsi="Arial" w:cs="Arial"/>
          <w:color w:val="000000"/>
          <w:sz w:val="18"/>
          <w:szCs w:val="18"/>
        </w:rPr>
        <w:t> </w:t>
      </w:r>
    </w:p>
    <w:p w:rsid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rPr>
      </w:pPr>
    </w:p>
    <w:p w:rsidR="00644FDA" w:rsidRPr="00A65833" w:rsidRDefault="00644FDA" w:rsidP="00644FDA">
      <w:pPr>
        <w:shd w:val="clear" w:color="auto" w:fill="FFFFFF"/>
        <w:spacing w:after="0" w:line="180" w:lineRule="atLeast"/>
        <w:jc w:val="both"/>
        <w:textAlignment w:val="baseline"/>
        <w:rPr>
          <w:rFonts w:ascii="Arial" w:eastAsia="Times New Roman" w:hAnsi="Arial" w:cs="Arial"/>
          <w:color w:val="000000"/>
          <w:sz w:val="18"/>
          <w:szCs w:val="18"/>
        </w:rPr>
      </w:pPr>
      <w:r w:rsidRPr="00A65833">
        <w:rPr>
          <w:rFonts w:ascii="Arial" w:eastAsia="Times New Roman" w:hAnsi="Arial" w:cs="Arial"/>
          <w:color w:val="000000"/>
          <w:sz w:val="18"/>
          <w:szCs w:val="18"/>
        </w:rPr>
        <w:t xml:space="preserve">5.2 </w:t>
      </w:r>
      <w:proofErr w:type="spellStart"/>
      <w:r w:rsidRPr="00A65833">
        <w:rPr>
          <w:rFonts w:ascii="Arial" w:eastAsia="Times New Roman" w:hAnsi="Arial" w:cs="Arial"/>
          <w:color w:val="000000"/>
          <w:sz w:val="18"/>
          <w:szCs w:val="18"/>
        </w:rPr>
        <w:t>Ekspertët</w:t>
      </w:r>
      <w:proofErr w:type="spellEnd"/>
      <w:r w:rsidRPr="00A65833">
        <w:rPr>
          <w:rFonts w:ascii="Arial" w:eastAsia="Times New Roman" w:hAnsi="Arial" w:cs="Arial"/>
          <w:color w:val="000000"/>
          <w:sz w:val="18"/>
          <w:szCs w:val="18"/>
        </w:rPr>
        <w:t xml:space="preserve"> e </w:t>
      </w:r>
      <w:proofErr w:type="spellStart"/>
      <w:r w:rsidRPr="00A65833">
        <w:rPr>
          <w:rFonts w:ascii="Arial" w:eastAsia="Times New Roman" w:hAnsi="Arial" w:cs="Arial"/>
          <w:color w:val="000000"/>
          <w:sz w:val="18"/>
          <w:szCs w:val="18"/>
        </w:rPr>
        <w:t>përfshirë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procesin</w:t>
      </w:r>
      <w:proofErr w:type="spellEnd"/>
      <w:r w:rsidRPr="00A65833">
        <w:rPr>
          <w:rFonts w:ascii="Arial" w:eastAsia="Times New Roman" w:hAnsi="Arial" w:cs="Arial"/>
          <w:color w:val="000000"/>
          <w:sz w:val="18"/>
          <w:szCs w:val="18"/>
        </w:rPr>
        <w:t xml:space="preserve"> e </w:t>
      </w:r>
      <w:proofErr w:type="spellStart"/>
      <w:r w:rsidRPr="00A65833">
        <w:rPr>
          <w:rFonts w:ascii="Arial" w:eastAsia="Times New Roman" w:hAnsi="Arial" w:cs="Arial"/>
          <w:color w:val="000000"/>
          <w:sz w:val="18"/>
          <w:szCs w:val="18"/>
        </w:rPr>
        <w:t>vlerësimit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jashtëm</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një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aktiviteti</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edukimit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vazhdim</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duhet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deklarojnë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para</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përpilimit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raportit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çdo</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konflikt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mundshëm</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interesi</w:t>
      </w:r>
      <w:proofErr w:type="spellEnd"/>
      <w:r w:rsidRPr="00A65833">
        <w:rPr>
          <w:rFonts w:ascii="Arial" w:eastAsia="Times New Roman" w:hAnsi="Arial" w:cs="Arial"/>
          <w:color w:val="000000"/>
          <w:sz w:val="18"/>
          <w:szCs w:val="18"/>
        </w:rPr>
        <w:t xml:space="preserve"> me </w:t>
      </w:r>
      <w:proofErr w:type="spellStart"/>
      <w:r w:rsidRPr="00A65833">
        <w:rPr>
          <w:rFonts w:ascii="Arial" w:eastAsia="Times New Roman" w:hAnsi="Arial" w:cs="Arial"/>
          <w:color w:val="000000"/>
          <w:sz w:val="18"/>
          <w:szCs w:val="18"/>
        </w:rPr>
        <w:t>ofruesin</w:t>
      </w:r>
      <w:proofErr w:type="spellEnd"/>
      <w:r w:rsidRPr="00A65833">
        <w:rPr>
          <w:rFonts w:ascii="Arial" w:eastAsia="Times New Roman" w:hAnsi="Arial" w:cs="Arial"/>
          <w:color w:val="000000"/>
          <w:sz w:val="18"/>
          <w:szCs w:val="18"/>
        </w:rPr>
        <w:t xml:space="preserve"> e </w:t>
      </w:r>
      <w:proofErr w:type="spellStart"/>
      <w:r w:rsidRPr="00A65833">
        <w:rPr>
          <w:rFonts w:ascii="Arial" w:eastAsia="Times New Roman" w:hAnsi="Arial" w:cs="Arial"/>
          <w:color w:val="000000"/>
          <w:sz w:val="18"/>
          <w:szCs w:val="18"/>
        </w:rPr>
        <w:t>aktivitetit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edukimit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vazhdim</w:t>
      </w:r>
      <w:proofErr w:type="spellEnd"/>
      <w:r w:rsidRPr="00A65833">
        <w:rPr>
          <w:rFonts w:ascii="Arial" w:eastAsia="Times New Roman" w:hAnsi="Arial" w:cs="Arial"/>
          <w:color w:val="000000"/>
          <w:sz w:val="18"/>
          <w:szCs w:val="18"/>
        </w:rPr>
        <w:t xml:space="preserve">. </w:t>
      </w:r>
      <w:proofErr w:type="spellStart"/>
      <w:proofErr w:type="gramStart"/>
      <w:r w:rsidRPr="00A65833">
        <w:rPr>
          <w:rFonts w:ascii="Arial" w:eastAsia="Times New Roman" w:hAnsi="Arial" w:cs="Arial"/>
          <w:color w:val="000000"/>
          <w:sz w:val="18"/>
          <w:szCs w:val="18"/>
        </w:rPr>
        <w:t>Gjithashtu</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eksperti</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i</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përzgjedhur</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për</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vlerësimin</w:t>
      </w:r>
      <w:proofErr w:type="spellEnd"/>
      <w:r w:rsidRPr="00A65833">
        <w:rPr>
          <w:rFonts w:ascii="Arial" w:eastAsia="Times New Roman" w:hAnsi="Arial" w:cs="Arial"/>
          <w:color w:val="000000"/>
          <w:sz w:val="18"/>
          <w:szCs w:val="18"/>
        </w:rPr>
        <w:t xml:space="preserve"> e </w:t>
      </w:r>
      <w:proofErr w:type="spellStart"/>
      <w:r w:rsidRPr="00A65833">
        <w:rPr>
          <w:rFonts w:ascii="Arial" w:eastAsia="Times New Roman" w:hAnsi="Arial" w:cs="Arial"/>
          <w:color w:val="000000"/>
          <w:sz w:val="18"/>
          <w:szCs w:val="18"/>
        </w:rPr>
        <w:t>jashtëm</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një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aktiviteti</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nuk</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duhet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jetë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i</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përfshirë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planifikimin</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organizimin</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dhe</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zbatimin</w:t>
      </w:r>
      <w:proofErr w:type="spellEnd"/>
      <w:r w:rsidRPr="00A65833">
        <w:rPr>
          <w:rFonts w:ascii="Arial" w:eastAsia="Times New Roman" w:hAnsi="Arial" w:cs="Arial"/>
          <w:color w:val="000000"/>
          <w:sz w:val="18"/>
          <w:szCs w:val="18"/>
        </w:rPr>
        <w:t xml:space="preserve"> e </w:t>
      </w:r>
      <w:proofErr w:type="spellStart"/>
      <w:r w:rsidRPr="00A65833">
        <w:rPr>
          <w:rFonts w:ascii="Arial" w:eastAsia="Times New Roman" w:hAnsi="Arial" w:cs="Arial"/>
          <w:color w:val="000000"/>
          <w:sz w:val="18"/>
          <w:szCs w:val="18"/>
        </w:rPr>
        <w:t>aktivitetit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që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vlerësohet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prej</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tij</w:t>
      </w:r>
      <w:proofErr w:type="spellEnd"/>
      <w:r w:rsidRPr="00A65833">
        <w:rPr>
          <w:rFonts w:ascii="Arial" w:eastAsia="Times New Roman" w:hAnsi="Arial" w:cs="Arial"/>
          <w:color w:val="000000"/>
          <w:sz w:val="18"/>
          <w:szCs w:val="18"/>
        </w:rPr>
        <w:t>.</w:t>
      </w:r>
      <w:proofErr w:type="gramEnd"/>
    </w:p>
    <w:p w:rsidR="00644FDA" w:rsidRPr="00A65833" w:rsidRDefault="00644FDA" w:rsidP="00644FDA">
      <w:pPr>
        <w:shd w:val="clear" w:color="auto" w:fill="FFFFFF"/>
        <w:spacing w:after="0" w:line="180" w:lineRule="atLeast"/>
        <w:jc w:val="both"/>
        <w:textAlignment w:val="baseline"/>
        <w:rPr>
          <w:rFonts w:ascii="Arial" w:eastAsia="Times New Roman" w:hAnsi="Arial" w:cs="Arial"/>
          <w:color w:val="000000"/>
          <w:sz w:val="18"/>
          <w:szCs w:val="18"/>
        </w:rPr>
      </w:pPr>
      <w:r w:rsidRPr="00A65833">
        <w:rPr>
          <w:rFonts w:ascii="Arial" w:eastAsia="Times New Roman" w:hAnsi="Arial" w:cs="Arial"/>
          <w:color w:val="000000"/>
          <w:sz w:val="18"/>
          <w:szCs w:val="18"/>
        </w:rPr>
        <w:t> </w:t>
      </w:r>
    </w:p>
    <w:p w:rsidR="00644FDA" w:rsidRPr="00A65833" w:rsidRDefault="00644FDA" w:rsidP="00644FDA">
      <w:pPr>
        <w:shd w:val="clear" w:color="auto" w:fill="FFFFFF"/>
        <w:spacing w:after="0" w:line="180" w:lineRule="atLeast"/>
        <w:jc w:val="both"/>
        <w:textAlignment w:val="baseline"/>
        <w:rPr>
          <w:rFonts w:ascii="Arial" w:eastAsia="Times New Roman" w:hAnsi="Arial" w:cs="Arial"/>
          <w:color w:val="000000"/>
          <w:sz w:val="18"/>
          <w:szCs w:val="18"/>
        </w:rPr>
      </w:pPr>
      <w:r w:rsidRPr="00A65833">
        <w:rPr>
          <w:rFonts w:ascii="Arial" w:eastAsia="Times New Roman" w:hAnsi="Arial" w:cs="Arial"/>
          <w:color w:val="000000"/>
          <w:sz w:val="18"/>
          <w:szCs w:val="18"/>
        </w:rPr>
        <w:t>6. QKEV-</w:t>
      </w:r>
      <w:proofErr w:type="spellStart"/>
      <w:r w:rsidRPr="00A65833">
        <w:rPr>
          <w:rFonts w:ascii="Arial" w:eastAsia="Times New Roman" w:hAnsi="Arial" w:cs="Arial"/>
          <w:color w:val="000000"/>
          <w:sz w:val="18"/>
          <w:szCs w:val="18"/>
        </w:rPr>
        <w:t>ja</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paguan</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ekpertët</w:t>
      </w:r>
      <w:proofErr w:type="spellEnd"/>
      <w:r w:rsidRPr="00A65833">
        <w:rPr>
          <w:rFonts w:ascii="Arial" w:eastAsia="Times New Roman" w:hAnsi="Arial" w:cs="Arial"/>
          <w:color w:val="000000"/>
          <w:sz w:val="18"/>
          <w:szCs w:val="18"/>
        </w:rPr>
        <w:t xml:space="preserve"> e </w:t>
      </w:r>
      <w:proofErr w:type="spellStart"/>
      <w:r w:rsidRPr="00A65833">
        <w:rPr>
          <w:rFonts w:ascii="Arial" w:eastAsia="Times New Roman" w:hAnsi="Arial" w:cs="Arial"/>
          <w:color w:val="000000"/>
          <w:sz w:val="18"/>
          <w:szCs w:val="18"/>
        </w:rPr>
        <w:t>pavarur</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për</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vlerësimin</w:t>
      </w:r>
      <w:proofErr w:type="spellEnd"/>
      <w:r w:rsidRPr="00A65833">
        <w:rPr>
          <w:rFonts w:ascii="Arial" w:eastAsia="Times New Roman" w:hAnsi="Arial" w:cs="Arial"/>
          <w:color w:val="000000"/>
          <w:sz w:val="18"/>
          <w:szCs w:val="18"/>
        </w:rPr>
        <w:t xml:space="preserve"> e </w:t>
      </w:r>
      <w:proofErr w:type="spellStart"/>
      <w:r w:rsidRPr="00A65833">
        <w:rPr>
          <w:rFonts w:ascii="Arial" w:eastAsia="Times New Roman" w:hAnsi="Arial" w:cs="Arial"/>
          <w:color w:val="000000"/>
          <w:sz w:val="18"/>
          <w:szCs w:val="18"/>
        </w:rPr>
        <w:t>kryer</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prej</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tyre</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bazuar</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përcaktimin</w:t>
      </w:r>
      <w:proofErr w:type="spellEnd"/>
      <w:r w:rsidRPr="00A65833">
        <w:rPr>
          <w:rFonts w:ascii="Arial" w:eastAsia="Times New Roman" w:hAnsi="Arial" w:cs="Arial"/>
          <w:color w:val="000000"/>
          <w:sz w:val="18"/>
          <w:szCs w:val="18"/>
        </w:rPr>
        <w:t xml:space="preserve"> e </w:t>
      </w:r>
      <w:proofErr w:type="spellStart"/>
      <w:r w:rsidRPr="00A65833">
        <w:rPr>
          <w:rFonts w:ascii="Arial" w:eastAsia="Times New Roman" w:hAnsi="Arial" w:cs="Arial"/>
          <w:color w:val="000000"/>
          <w:sz w:val="18"/>
          <w:szCs w:val="18"/>
        </w:rPr>
        <w:t>orëve</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punës</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sipas</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aneksit</w:t>
      </w:r>
      <w:proofErr w:type="spellEnd"/>
      <w:r w:rsidRPr="00A65833">
        <w:rPr>
          <w:rFonts w:ascii="Arial" w:eastAsia="Times New Roman" w:hAnsi="Arial" w:cs="Arial"/>
          <w:color w:val="000000"/>
          <w:sz w:val="18"/>
          <w:szCs w:val="18"/>
        </w:rPr>
        <w:t xml:space="preserve"> 1, </w:t>
      </w:r>
      <w:proofErr w:type="spellStart"/>
      <w:r w:rsidRPr="00A65833">
        <w:rPr>
          <w:rFonts w:ascii="Arial" w:eastAsia="Times New Roman" w:hAnsi="Arial" w:cs="Arial"/>
          <w:color w:val="000000"/>
          <w:sz w:val="18"/>
          <w:szCs w:val="18"/>
        </w:rPr>
        <w:t>bashkëngjitur</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këtij</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vendimi</w:t>
      </w:r>
      <w:proofErr w:type="spellEnd"/>
      <w:r w:rsidRPr="00A65833">
        <w:rPr>
          <w:rFonts w:ascii="Arial" w:eastAsia="Times New Roman" w:hAnsi="Arial" w:cs="Arial"/>
          <w:color w:val="000000"/>
          <w:sz w:val="18"/>
          <w:szCs w:val="18"/>
        </w:rPr>
        <w:t>. </w:t>
      </w:r>
    </w:p>
    <w:p w:rsidR="00644FDA" w:rsidRPr="00A65833" w:rsidRDefault="00644FDA" w:rsidP="00644FDA">
      <w:pPr>
        <w:shd w:val="clear" w:color="auto" w:fill="FFFFFF"/>
        <w:spacing w:after="0" w:line="180" w:lineRule="atLeast"/>
        <w:jc w:val="both"/>
        <w:textAlignment w:val="baseline"/>
        <w:rPr>
          <w:rFonts w:ascii="Arial" w:eastAsia="Times New Roman" w:hAnsi="Arial" w:cs="Arial"/>
          <w:color w:val="000000"/>
          <w:sz w:val="18"/>
          <w:szCs w:val="18"/>
        </w:rPr>
      </w:pPr>
      <w:r w:rsidRPr="00A65833">
        <w:rPr>
          <w:rFonts w:ascii="Arial" w:eastAsia="Times New Roman" w:hAnsi="Arial" w:cs="Arial"/>
          <w:color w:val="000000"/>
          <w:sz w:val="18"/>
          <w:szCs w:val="18"/>
        </w:rPr>
        <w:t> </w:t>
      </w:r>
    </w:p>
    <w:p w:rsidR="00644FDA" w:rsidRPr="00A65833" w:rsidRDefault="00644FDA" w:rsidP="00644FDA">
      <w:pPr>
        <w:shd w:val="clear" w:color="auto" w:fill="FFFFFF"/>
        <w:spacing w:after="0" w:line="180" w:lineRule="atLeast"/>
        <w:jc w:val="both"/>
        <w:textAlignment w:val="baseline"/>
        <w:rPr>
          <w:rFonts w:ascii="Arial" w:eastAsia="Times New Roman" w:hAnsi="Arial" w:cs="Arial"/>
          <w:color w:val="000000"/>
          <w:sz w:val="18"/>
          <w:szCs w:val="18"/>
        </w:rPr>
      </w:pPr>
      <w:r w:rsidRPr="00A65833">
        <w:rPr>
          <w:rFonts w:ascii="Arial" w:eastAsia="Times New Roman" w:hAnsi="Arial" w:cs="Arial"/>
          <w:color w:val="000000"/>
          <w:sz w:val="18"/>
          <w:szCs w:val="18"/>
        </w:rPr>
        <w:t xml:space="preserve">7. </w:t>
      </w:r>
      <w:proofErr w:type="spellStart"/>
      <w:r w:rsidRPr="00A65833">
        <w:rPr>
          <w:rFonts w:ascii="Arial" w:eastAsia="Times New Roman" w:hAnsi="Arial" w:cs="Arial"/>
          <w:color w:val="000000"/>
          <w:sz w:val="18"/>
          <w:szCs w:val="18"/>
        </w:rPr>
        <w:t>Pagesa</w:t>
      </w:r>
      <w:proofErr w:type="spellEnd"/>
      <w:r w:rsidRPr="00A65833">
        <w:rPr>
          <w:rFonts w:ascii="Arial" w:eastAsia="Times New Roman" w:hAnsi="Arial" w:cs="Arial"/>
          <w:color w:val="000000"/>
          <w:sz w:val="18"/>
          <w:szCs w:val="18"/>
        </w:rPr>
        <w:t xml:space="preserve"> e </w:t>
      </w:r>
      <w:proofErr w:type="spellStart"/>
      <w:r w:rsidRPr="00A65833">
        <w:rPr>
          <w:rFonts w:ascii="Arial" w:eastAsia="Times New Roman" w:hAnsi="Arial" w:cs="Arial"/>
          <w:color w:val="000000"/>
          <w:sz w:val="18"/>
          <w:szCs w:val="18"/>
        </w:rPr>
        <w:t>kryer</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nga</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ofruesi</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gjatë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fazës</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së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aplikimit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mbulon</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shpenzimet</w:t>
      </w:r>
      <w:proofErr w:type="spellEnd"/>
      <w:r w:rsidRPr="00A65833">
        <w:rPr>
          <w:rFonts w:ascii="Arial" w:eastAsia="Times New Roman" w:hAnsi="Arial" w:cs="Arial"/>
          <w:color w:val="000000"/>
          <w:sz w:val="18"/>
          <w:szCs w:val="18"/>
        </w:rPr>
        <w:t xml:space="preserve"> operative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QKEV-</w:t>
      </w:r>
      <w:proofErr w:type="spellStart"/>
      <w:r w:rsidRPr="00A65833">
        <w:rPr>
          <w:rFonts w:ascii="Arial" w:eastAsia="Times New Roman" w:hAnsi="Arial" w:cs="Arial"/>
          <w:color w:val="000000"/>
          <w:sz w:val="18"/>
          <w:szCs w:val="18"/>
        </w:rPr>
        <w:t>së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gjatë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procedurave</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vlerësimit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aktivitetit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edukimit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vazhdim</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dhe</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është</w:t>
      </w:r>
      <w:proofErr w:type="spellEnd"/>
      <w:r w:rsidRPr="00A65833">
        <w:rPr>
          <w:rFonts w:ascii="Arial" w:eastAsia="Times New Roman" w:hAnsi="Arial" w:cs="Arial"/>
          <w:color w:val="000000"/>
          <w:sz w:val="18"/>
          <w:szCs w:val="18"/>
        </w:rPr>
        <w:t xml:space="preserve"> e </w:t>
      </w:r>
      <w:proofErr w:type="spellStart"/>
      <w:r w:rsidRPr="00A65833">
        <w:rPr>
          <w:rFonts w:ascii="Arial" w:eastAsia="Times New Roman" w:hAnsi="Arial" w:cs="Arial"/>
          <w:color w:val="000000"/>
          <w:sz w:val="18"/>
          <w:szCs w:val="18"/>
        </w:rPr>
        <w:t>pavarur</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nga</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vendimi</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për</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miratim</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ose</w:t>
      </w:r>
      <w:proofErr w:type="spellEnd"/>
      <w:r w:rsidRPr="00A65833">
        <w:rPr>
          <w:rFonts w:ascii="Arial" w:eastAsia="Times New Roman" w:hAnsi="Arial" w:cs="Arial"/>
          <w:color w:val="000000"/>
          <w:sz w:val="18"/>
          <w:szCs w:val="18"/>
        </w:rPr>
        <w:t xml:space="preserve"> </w:t>
      </w:r>
      <w:proofErr w:type="spellStart"/>
      <w:proofErr w:type="gramStart"/>
      <w:r w:rsidRPr="00A65833">
        <w:rPr>
          <w:rFonts w:ascii="Arial" w:eastAsia="Times New Roman" w:hAnsi="Arial" w:cs="Arial"/>
          <w:color w:val="000000"/>
          <w:sz w:val="18"/>
          <w:szCs w:val="18"/>
        </w:rPr>
        <w:t>jo</w:t>
      </w:r>
      <w:proofErr w:type="spellEnd"/>
      <w:proofErr w:type="gram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akreditimit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për</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aktivitetin</w:t>
      </w:r>
      <w:proofErr w:type="spellEnd"/>
      <w:r w:rsidRPr="00A65833">
        <w:rPr>
          <w:rFonts w:ascii="Arial" w:eastAsia="Times New Roman" w:hAnsi="Arial" w:cs="Arial"/>
          <w:color w:val="000000"/>
          <w:sz w:val="18"/>
          <w:szCs w:val="18"/>
        </w:rPr>
        <w:t>. </w:t>
      </w:r>
    </w:p>
    <w:p w:rsidR="00644FDA" w:rsidRPr="00A65833" w:rsidRDefault="00644FDA" w:rsidP="00644FDA">
      <w:pPr>
        <w:shd w:val="clear" w:color="auto" w:fill="FFFFFF"/>
        <w:spacing w:after="0" w:line="180" w:lineRule="atLeast"/>
        <w:jc w:val="both"/>
        <w:textAlignment w:val="baseline"/>
        <w:rPr>
          <w:rFonts w:ascii="Arial" w:eastAsia="Times New Roman" w:hAnsi="Arial" w:cs="Arial"/>
          <w:color w:val="000000"/>
          <w:sz w:val="18"/>
          <w:szCs w:val="18"/>
        </w:rPr>
      </w:pPr>
      <w:r w:rsidRPr="00A65833">
        <w:rPr>
          <w:rFonts w:ascii="Arial" w:eastAsia="Times New Roman" w:hAnsi="Arial" w:cs="Arial"/>
          <w:color w:val="000000"/>
          <w:sz w:val="18"/>
          <w:szCs w:val="18"/>
        </w:rPr>
        <w:t> </w:t>
      </w:r>
    </w:p>
    <w:p w:rsid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rPr>
      </w:pPr>
    </w:p>
    <w:p w:rsid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rPr>
      </w:pPr>
    </w:p>
    <w:p w:rsid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rPr>
      </w:pPr>
    </w:p>
    <w:p w:rsid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rPr>
      </w:pPr>
    </w:p>
    <w:p w:rsid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rPr>
      </w:pPr>
    </w:p>
    <w:p w:rsid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rPr>
      </w:pPr>
    </w:p>
    <w:p w:rsid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rPr>
      </w:pPr>
    </w:p>
    <w:p w:rsid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rPr>
      </w:pPr>
    </w:p>
    <w:p w:rsid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rPr>
      </w:pPr>
    </w:p>
    <w:p w:rsidR="00644FDA" w:rsidRDefault="00644FDA" w:rsidP="00644FDA">
      <w:pPr>
        <w:shd w:val="clear" w:color="auto" w:fill="FFFFFF"/>
        <w:spacing w:after="0" w:line="180" w:lineRule="atLeast"/>
        <w:jc w:val="both"/>
        <w:textAlignment w:val="baseline"/>
        <w:rPr>
          <w:rFonts w:ascii="Arial" w:eastAsia="Times New Roman" w:hAnsi="Arial" w:cs="Arial"/>
          <w:color w:val="000000"/>
          <w:sz w:val="18"/>
          <w:szCs w:val="18"/>
        </w:rPr>
      </w:pPr>
    </w:p>
    <w:p w:rsidR="00644FDA" w:rsidRPr="00A65833" w:rsidRDefault="00644FDA" w:rsidP="00644FDA">
      <w:pPr>
        <w:shd w:val="clear" w:color="auto" w:fill="FFFFFF"/>
        <w:spacing w:after="0" w:line="180" w:lineRule="atLeast"/>
        <w:jc w:val="both"/>
        <w:textAlignment w:val="baseline"/>
        <w:rPr>
          <w:rFonts w:ascii="Arial" w:eastAsia="Times New Roman" w:hAnsi="Arial" w:cs="Arial"/>
          <w:color w:val="000000"/>
          <w:sz w:val="18"/>
          <w:szCs w:val="18"/>
        </w:rPr>
      </w:pPr>
      <w:r w:rsidRPr="00A65833">
        <w:rPr>
          <w:rFonts w:ascii="Arial" w:eastAsia="Times New Roman" w:hAnsi="Arial" w:cs="Arial"/>
          <w:color w:val="000000"/>
          <w:sz w:val="18"/>
          <w:szCs w:val="18"/>
        </w:rPr>
        <w:t xml:space="preserve">8. </w:t>
      </w:r>
      <w:proofErr w:type="spellStart"/>
      <w:r w:rsidRPr="00A65833">
        <w:rPr>
          <w:rFonts w:ascii="Arial" w:eastAsia="Times New Roman" w:hAnsi="Arial" w:cs="Arial"/>
          <w:color w:val="000000"/>
          <w:sz w:val="18"/>
          <w:szCs w:val="18"/>
        </w:rPr>
        <w:t>Pjesa</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prej</w:t>
      </w:r>
      <w:proofErr w:type="spellEnd"/>
      <w:r w:rsidRPr="00A65833">
        <w:rPr>
          <w:rFonts w:ascii="Arial" w:eastAsia="Times New Roman" w:hAnsi="Arial" w:cs="Arial"/>
          <w:color w:val="000000"/>
          <w:sz w:val="18"/>
          <w:szCs w:val="18"/>
        </w:rPr>
        <w:t xml:space="preserve"> 30 % 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ardhurave</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mbledhura</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nga</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tarifat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për</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akreditimin</w:t>
      </w:r>
      <w:proofErr w:type="spellEnd"/>
      <w:r w:rsidRPr="00A65833">
        <w:rPr>
          <w:rFonts w:ascii="Arial" w:eastAsia="Times New Roman" w:hAnsi="Arial" w:cs="Arial"/>
          <w:color w:val="000000"/>
          <w:sz w:val="18"/>
          <w:szCs w:val="18"/>
        </w:rPr>
        <w:t xml:space="preserve"> e </w:t>
      </w:r>
      <w:proofErr w:type="spellStart"/>
      <w:r w:rsidRPr="00A65833">
        <w:rPr>
          <w:rFonts w:ascii="Arial" w:eastAsia="Times New Roman" w:hAnsi="Arial" w:cs="Arial"/>
          <w:color w:val="000000"/>
          <w:sz w:val="18"/>
          <w:szCs w:val="18"/>
        </w:rPr>
        <w:t>aktivitetit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edukimit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vazhdim</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derdhet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në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buxhetin</w:t>
      </w:r>
      <w:proofErr w:type="spellEnd"/>
      <w:r w:rsidRPr="00A65833">
        <w:rPr>
          <w:rFonts w:ascii="Arial" w:eastAsia="Times New Roman" w:hAnsi="Arial" w:cs="Arial"/>
          <w:color w:val="000000"/>
          <w:sz w:val="18"/>
          <w:szCs w:val="18"/>
        </w:rPr>
        <w:t xml:space="preserve"> e QKEV-</w:t>
      </w:r>
      <w:proofErr w:type="spellStart"/>
      <w:r w:rsidRPr="00A65833">
        <w:rPr>
          <w:rFonts w:ascii="Arial" w:eastAsia="Times New Roman" w:hAnsi="Arial" w:cs="Arial"/>
          <w:color w:val="000000"/>
          <w:sz w:val="18"/>
          <w:szCs w:val="18"/>
        </w:rPr>
        <w:t>së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dhe</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përdoret</w:t>
      </w:r>
      <w:proofErr w:type="spellEnd"/>
      <w:r w:rsidRPr="00A65833">
        <w:rPr>
          <w:rFonts w:ascii="Arial" w:eastAsia="Times New Roman" w:hAnsi="Arial" w:cs="Arial"/>
          <w:color w:val="000000"/>
          <w:sz w:val="18"/>
          <w:szCs w:val="18"/>
        </w:rPr>
        <w:t xml:space="preserve"> me </w:t>
      </w:r>
      <w:proofErr w:type="spellStart"/>
      <w:r w:rsidRPr="00A65833">
        <w:rPr>
          <w:rFonts w:ascii="Arial" w:eastAsia="Times New Roman" w:hAnsi="Arial" w:cs="Arial"/>
          <w:color w:val="000000"/>
          <w:sz w:val="18"/>
          <w:szCs w:val="18"/>
        </w:rPr>
        <w:t>miratimin</w:t>
      </w:r>
      <w:proofErr w:type="spellEnd"/>
      <w:r w:rsidRPr="00A65833">
        <w:rPr>
          <w:rFonts w:ascii="Arial" w:eastAsia="Times New Roman" w:hAnsi="Arial" w:cs="Arial"/>
          <w:color w:val="000000"/>
          <w:sz w:val="18"/>
          <w:szCs w:val="18"/>
        </w:rPr>
        <w:t xml:space="preserve"> e </w:t>
      </w:r>
      <w:proofErr w:type="spellStart"/>
      <w:r w:rsidRPr="00A65833">
        <w:rPr>
          <w:rFonts w:ascii="Arial" w:eastAsia="Times New Roman" w:hAnsi="Arial" w:cs="Arial"/>
          <w:color w:val="000000"/>
          <w:sz w:val="18"/>
          <w:szCs w:val="18"/>
        </w:rPr>
        <w:t>ministrit</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të</w:t>
      </w:r>
      <w:proofErr w:type="spellEnd"/>
      <w:r w:rsidRPr="00A65833">
        <w:rPr>
          <w:rFonts w:ascii="Arial" w:eastAsia="Times New Roman" w:hAnsi="Arial" w:cs="Arial"/>
          <w:color w:val="000000"/>
          <w:sz w:val="18"/>
          <w:szCs w:val="18"/>
        </w:rPr>
        <w:t xml:space="preserve"> </w:t>
      </w:r>
      <w:proofErr w:type="spellStart"/>
      <w:r w:rsidRPr="00A65833">
        <w:rPr>
          <w:rFonts w:ascii="Arial" w:eastAsia="Times New Roman" w:hAnsi="Arial" w:cs="Arial"/>
          <w:color w:val="000000"/>
          <w:sz w:val="18"/>
          <w:szCs w:val="18"/>
        </w:rPr>
        <w:t>Shëndetësisë</w:t>
      </w:r>
      <w:proofErr w:type="spellEnd"/>
      <w:r w:rsidRPr="00A65833">
        <w:rPr>
          <w:rFonts w:ascii="Arial" w:eastAsia="Times New Roman" w:hAnsi="Arial" w:cs="Arial"/>
          <w:color w:val="000000"/>
          <w:sz w:val="18"/>
          <w:szCs w:val="18"/>
        </w:rPr>
        <w:t>. </w:t>
      </w:r>
    </w:p>
    <w:p w:rsidR="00644FDA" w:rsidRPr="00A65833" w:rsidRDefault="00644FDA" w:rsidP="00644FDA">
      <w:pPr>
        <w:shd w:val="clear" w:color="auto" w:fill="FFFFFF"/>
        <w:spacing w:after="0" w:line="180" w:lineRule="atLeast"/>
        <w:jc w:val="both"/>
        <w:textAlignment w:val="baseline"/>
        <w:rPr>
          <w:rFonts w:ascii="Arial" w:eastAsia="Times New Roman" w:hAnsi="Arial" w:cs="Arial"/>
          <w:color w:val="000000"/>
          <w:sz w:val="18"/>
          <w:szCs w:val="18"/>
        </w:rPr>
      </w:pPr>
      <w:r w:rsidRPr="00A65833">
        <w:rPr>
          <w:rFonts w:ascii="Arial" w:eastAsia="Times New Roman" w:hAnsi="Arial" w:cs="Arial"/>
          <w:color w:val="000000"/>
          <w:sz w:val="18"/>
          <w:szCs w:val="18"/>
        </w:rPr>
        <w:t> </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9. Ngarkohet Ministria e Shëndetësisë për zbatimin e këtij vendimi.</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 </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Ky vendim hyn në fuqi pas botimit në “Fletoren zyrtare”.</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 </w:t>
      </w:r>
    </w:p>
    <w:p w:rsidR="00644FDA" w:rsidRPr="00EB5DC8" w:rsidRDefault="00644FDA" w:rsidP="00644FDA">
      <w:pPr>
        <w:shd w:val="clear" w:color="auto" w:fill="FFFFFF"/>
        <w:spacing w:after="0" w:line="180" w:lineRule="atLeast"/>
        <w:jc w:val="both"/>
        <w:textAlignment w:val="baseline"/>
        <w:rPr>
          <w:rFonts w:ascii="Arial" w:eastAsia="Times New Roman" w:hAnsi="Arial" w:cs="Arial"/>
          <w:color w:val="000000"/>
          <w:sz w:val="18"/>
          <w:szCs w:val="18"/>
          <w:lang w:val="it-IT"/>
        </w:rPr>
      </w:pPr>
      <w:r w:rsidRPr="00EB5DC8">
        <w:rPr>
          <w:rFonts w:ascii="Arial" w:eastAsia="Times New Roman" w:hAnsi="Arial" w:cs="Arial"/>
          <w:color w:val="000000"/>
          <w:sz w:val="18"/>
          <w:szCs w:val="18"/>
          <w:lang w:val="it-IT"/>
        </w:rPr>
        <w:t> </w:t>
      </w:r>
    </w:p>
    <w:p w:rsidR="003C3DA9" w:rsidRPr="00644FDA" w:rsidRDefault="003C3DA9">
      <w:pPr>
        <w:rPr>
          <w:lang w:val="it-IT"/>
        </w:rPr>
      </w:pPr>
    </w:p>
    <w:sectPr w:rsidR="003C3DA9" w:rsidRPr="00644FDA" w:rsidSect="003C3D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44FDA"/>
    <w:rsid w:val="003C3DA9"/>
    <w:rsid w:val="00644F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F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3687</Words>
  <Characters>21016</Characters>
  <Application>Microsoft Office Word</Application>
  <DocSecurity>0</DocSecurity>
  <Lines>175</Lines>
  <Paragraphs>49</Paragraphs>
  <ScaleCrop>false</ScaleCrop>
  <Company/>
  <LinksUpToDate>false</LinksUpToDate>
  <CharactersWithSpaces>24654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Emira Pacrami</dc:creator>
  <cp:keywords/>
  <dc:description/>
  <cp:lastModifiedBy>Emira Pacrami</cp:lastModifiedBy>
  <cp:revision>1</cp:revision>
  <dcterms:created xsi:type="dcterms:W3CDTF">2015-09-25T09:55:00Z</dcterms:created>
  <dcterms:modified xsi:type="dcterms:W3CDTF">2015-09-25T09:55:00Z</dcterms:modified>
</cp:coreProperties>
</file>